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仿宋_GB2312"/>
          <w:b/>
          <w:bCs/>
          <w:sz w:val="36"/>
          <w:szCs w:val="36"/>
        </w:rPr>
      </w:pPr>
      <w:r>
        <w:rPr>
          <w:rFonts w:hint="eastAsia" w:eastAsia="仿宋_GB2312" w:cs="仿宋_GB2312"/>
          <w:b/>
          <w:bCs/>
          <w:sz w:val="36"/>
          <w:szCs w:val="36"/>
        </w:rPr>
        <w:t>海南大学</w:t>
      </w:r>
      <w:bookmarkStart w:id="0" w:name="_GoBack"/>
      <w:bookmarkEnd w:id="0"/>
      <w:r>
        <w:rPr>
          <w:rFonts w:hint="eastAsia" w:eastAsia="仿宋_GB2312" w:cs="仿宋_GB2312"/>
          <w:b/>
          <w:bCs/>
          <w:sz w:val="36"/>
          <w:szCs w:val="36"/>
        </w:rPr>
        <w:t>硕士研究生入学考试</w:t>
      </w:r>
    </w:p>
    <w:p>
      <w:pPr>
        <w:snapToGrid w:val="0"/>
        <w:spacing w:line="360" w:lineRule="auto"/>
        <w:jc w:val="center"/>
        <w:rPr>
          <w:rFonts w:eastAsia="仿宋_GB2312"/>
          <w:b/>
          <w:bCs/>
          <w:sz w:val="36"/>
          <w:szCs w:val="36"/>
        </w:rPr>
      </w:pPr>
      <w:r>
        <w:rPr>
          <w:rFonts w:hint="eastAsia" w:eastAsia="仿宋_GB2312" w:cs="仿宋_GB2312"/>
          <w:b/>
          <w:bCs/>
          <w:sz w:val="36"/>
          <w:szCs w:val="36"/>
        </w:rPr>
        <w:t>《</w:t>
      </w:r>
      <w:r>
        <w:rPr>
          <w:rFonts w:eastAsia="仿宋_GB2312"/>
          <w:b/>
          <w:bCs/>
          <w:sz w:val="36"/>
          <w:szCs w:val="36"/>
        </w:rPr>
        <w:t>874-</w:t>
      </w:r>
      <w:r>
        <w:rPr>
          <w:rFonts w:hint="eastAsia" w:eastAsia="仿宋_GB2312" w:cs="仿宋_GB2312"/>
          <w:b/>
          <w:bCs/>
          <w:sz w:val="36"/>
          <w:szCs w:val="36"/>
        </w:rPr>
        <w:t>高分子物理与化学》考试大纲</w:t>
      </w:r>
    </w:p>
    <w:p>
      <w:pPr>
        <w:adjustRightInd w:val="0"/>
        <w:snapToGrid w:val="0"/>
        <w:spacing w:line="360" w:lineRule="auto"/>
        <w:rPr>
          <w:rFonts w:ascii="仿宋_GB2312" w:hAnsi="仿宋" w:eastAsia="仿宋_GB2312"/>
          <w:b/>
          <w:bCs/>
          <w:sz w:val="24"/>
          <w:szCs w:val="24"/>
        </w:rPr>
      </w:pPr>
      <w:r>
        <w:rPr>
          <w:rFonts w:hint="eastAsia" w:ascii="仿宋_GB2312" w:hAnsi="仿宋" w:eastAsia="仿宋_GB2312" w:cs="仿宋_GB2312"/>
          <w:b/>
          <w:bCs/>
          <w:sz w:val="24"/>
          <w:szCs w:val="24"/>
        </w:rPr>
        <w:t>一、考试性质</w:t>
      </w:r>
    </w:p>
    <w:p>
      <w:pPr>
        <w:tabs>
          <w:tab w:val="left" w:pos="7380"/>
        </w:tabs>
        <w:snapToGrid w:val="0"/>
        <w:spacing w:beforeLines="50" w:afterLines="50" w:line="360" w:lineRule="auto"/>
        <w:ind w:firstLine="31680" w:firstLineChars="20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海南大学硕士研究生入学考试初试科目。</w:t>
      </w:r>
    </w:p>
    <w:p>
      <w:pPr>
        <w:adjustRightInd w:val="0"/>
        <w:snapToGrid w:val="0"/>
        <w:spacing w:line="360" w:lineRule="auto"/>
        <w:rPr>
          <w:rFonts w:ascii="仿宋_GB2312" w:hAnsi="仿宋" w:eastAsia="仿宋_GB2312"/>
          <w:b/>
          <w:bCs/>
          <w:sz w:val="24"/>
          <w:szCs w:val="24"/>
        </w:rPr>
      </w:pPr>
      <w:r>
        <w:rPr>
          <w:rFonts w:hint="eastAsia" w:ascii="宋体" w:hAnsi="宋体" w:cs="宋体"/>
          <w:sz w:val="28"/>
          <w:szCs w:val="28"/>
        </w:rPr>
        <w:t>二</w:t>
      </w:r>
      <w:r>
        <w:rPr>
          <w:rFonts w:hint="eastAsia" w:ascii="仿宋_GB2312" w:hAnsi="仿宋" w:eastAsia="仿宋_GB2312" w:cs="仿宋_GB2312"/>
          <w:b/>
          <w:bCs/>
          <w:sz w:val="24"/>
          <w:szCs w:val="24"/>
        </w:rPr>
        <w:t>、考试时间</w:t>
      </w:r>
    </w:p>
    <w:p>
      <w:pPr>
        <w:adjustRightInd w:val="0"/>
        <w:snapToGrid w:val="0"/>
        <w:spacing w:line="360" w:lineRule="auto"/>
        <w:ind w:firstLine="31680" w:firstLineChars="20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180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分钟。</w:t>
      </w:r>
    </w:p>
    <w:p>
      <w:pPr>
        <w:adjustRightInd w:val="0"/>
        <w:snapToGrid w:val="0"/>
        <w:spacing w:line="360" w:lineRule="auto"/>
        <w:rPr>
          <w:rFonts w:ascii="仿宋_GB2312" w:hAnsi="仿宋" w:eastAsia="仿宋_GB2312"/>
          <w:b/>
          <w:bCs/>
          <w:sz w:val="24"/>
          <w:szCs w:val="24"/>
        </w:rPr>
      </w:pPr>
      <w:r>
        <w:rPr>
          <w:rFonts w:hint="eastAsia" w:ascii="仿宋_GB2312" w:hAnsi="仿宋" w:eastAsia="仿宋_GB2312" w:cs="仿宋_GB2312"/>
          <w:b/>
          <w:bCs/>
          <w:sz w:val="24"/>
          <w:szCs w:val="24"/>
        </w:rPr>
        <w:t>三、考试方式与分值</w:t>
      </w:r>
    </w:p>
    <w:p>
      <w:pPr>
        <w:snapToGrid w:val="0"/>
        <w:spacing w:beforeLines="50" w:afterLines="50" w:line="360" w:lineRule="auto"/>
        <w:ind w:firstLine="31680" w:firstLineChars="20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闭卷、笔试。满分</w:t>
      </w:r>
      <w:r>
        <w:rPr>
          <w:rFonts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150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分，高分子物理和高分子化学部分各</w:t>
      </w:r>
      <w:r>
        <w:rPr>
          <w:rFonts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75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分。</w:t>
      </w:r>
    </w:p>
    <w:p>
      <w:pPr>
        <w:snapToGrid w:val="0"/>
        <w:spacing w:beforeLines="50" w:afterLines="50" w:line="360" w:lineRule="auto"/>
        <w:rPr>
          <w:rFonts w:ascii="仿宋_GB2312" w:hAnsi="仿宋" w:eastAsia="仿宋_GB2312"/>
          <w:b/>
          <w:bCs/>
          <w:sz w:val="24"/>
          <w:szCs w:val="24"/>
        </w:rPr>
      </w:pPr>
      <w:r>
        <w:rPr>
          <w:rFonts w:hint="eastAsia" w:ascii="仿宋_GB2312" w:hAnsi="仿宋" w:eastAsia="仿宋_GB2312" w:cs="仿宋_GB2312"/>
          <w:b/>
          <w:bCs/>
          <w:sz w:val="24"/>
          <w:szCs w:val="24"/>
        </w:rPr>
        <w:t>四、考试内容</w:t>
      </w:r>
    </w:p>
    <w:p>
      <w:pPr>
        <w:snapToGrid w:val="0"/>
        <w:spacing w:beforeLines="50" w:afterLines="50" w:line="360" w:lineRule="auto"/>
        <w:rPr>
          <w:rFonts w:eastAsia="黑体"/>
          <w:sz w:val="24"/>
          <w:szCs w:val="24"/>
        </w:rPr>
      </w:pPr>
      <w:r>
        <w:rPr>
          <w:rFonts w:hint="eastAsia" w:eastAsia="仿宋_GB2312" w:cs="仿宋_GB2312"/>
          <w:b/>
          <w:bCs/>
          <w:sz w:val="24"/>
          <w:szCs w:val="24"/>
        </w:rPr>
        <w:t>第一部分</w:t>
      </w:r>
      <w:r>
        <w:rPr>
          <w:rFonts w:eastAsia="仿宋_GB2312"/>
          <w:b/>
          <w:bCs/>
          <w:sz w:val="24"/>
          <w:szCs w:val="24"/>
        </w:rPr>
        <w:t xml:space="preserve">  </w:t>
      </w:r>
      <w:r>
        <w:rPr>
          <w:rFonts w:hint="eastAsia" w:ascii="仿宋_GB2312" w:hAnsi="仿宋" w:eastAsia="仿宋_GB2312" w:cs="仿宋_GB2312"/>
          <w:b/>
          <w:bCs/>
          <w:sz w:val="24"/>
          <w:szCs w:val="24"/>
        </w:rPr>
        <w:t>高分子物理</w:t>
      </w:r>
    </w:p>
    <w:p>
      <w:pPr>
        <w:numPr>
          <w:ilvl w:val="0"/>
          <w:numId w:val="1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高分子链的结构</w:t>
      </w:r>
      <w:r>
        <w:rPr>
          <w:rFonts w:ascii="仿宋_GB2312" w:eastAsia="仿宋_GB2312" w:cs="仿宋_GB2312"/>
          <w:sz w:val="24"/>
          <w:szCs w:val="24"/>
        </w:rPr>
        <w:t xml:space="preserve"> </w:t>
      </w:r>
    </w:p>
    <w:p>
      <w:pPr>
        <w:numPr>
          <w:ilvl w:val="0"/>
          <w:numId w:val="2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高分子链的近程结构</w:t>
      </w:r>
    </w:p>
    <w:p>
      <w:pPr>
        <w:numPr>
          <w:ilvl w:val="0"/>
          <w:numId w:val="2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高分子链的远程结构</w:t>
      </w:r>
    </w:p>
    <w:p>
      <w:pPr>
        <w:numPr>
          <w:ilvl w:val="0"/>
          <w:numId w:val="2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高分子链的构象统计</w:t>
      </w:r>
    </w:p>
    <w:p>
      <w:pPr>
        <w:numPr>
          <w:ilvl w:val="0"/>
          <w:numId w:val="1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高分子的聚集态结构</w:t>
      </w:r>
    </w:p>
    <w:p>
      <w:pPr>
        <w:spacing w:line="360" w:lineRule="atLeast"/>
        <w:ind w:left="420"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第一节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eastAsia="仿宋_GB2312" w:cs="仿宋_GB2312"/>
          <w:sz w:val="24"/>
          <w:szCs w:val="24"/>
        </w:rPr>
        <w:t>高聚物分子间的作用力</w:t>
      </w:r>
    </w:p>
    <w:p>
      <w:pPr>
        <w:spacing w:line="360" w:lineRule="atLeast"/>
        <w:ind w:left="420"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第二节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eastAsia="仿宋_GB2312" w:cs="仿宋_GB2312"/>
          <w:sz w:val="24"/>
          <w:szCs w:val="24"/>
        </w:rPr>
        <w:t>高聚物结晶的形态和结构</w:t>
      </w:r>
    </w:p>
    <w:p>
      <w:pPr>
        <w:pStyle w:val="19"/>
        <w:numPr>
          <w:ilvl w:val="0"/>
          <w:numId w:val="2"/>
        </w:numPr>
        <w:spacing w:line="360" w:lineRule="atLeast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高聚物的结晶过程</w:t>
      </w:r>
    </w:p>
    <w:p>
      <w:pPr>
        <w:pStyle w:val="19"/>
        <w:numPr>
          <w:ilvl w:val="0"/>
          <w:numId w:val="2"/>
        </w:numPr>
        <w:spacing w:line="360" w:lineRule="atLeast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高聚物的结晶过程对机械性能的影响</w:t>
      </w:r>
    </w:p>
    <w:p>
      <w:pPr>
        <w:pStyle w:val="19"/>
        <w:numPr>
          <w:ilvl w:val="0"/>
          <w:numId w:val="2"/>
        </w:numPr>
        <w:spacing w:line="360" w:lineRule="atLeast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高聚物的取向态结构、液晶态结构、织态结构</w:t>
      </w:r>
    </w:p>
    <w:p>
      <w:pPr>
        <w:numPr>
          <w:ilvl w:val="0"/>
          <w:numId w:val="1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高分子的溶液性质</w:t>
      </w:r>
    </w:p>
    <w:p>
      <w:pPr>
        <w:spacing w:line="360" w:lineRule="atLeast"/>
        <w:ind w:left="420"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第一节</w:t>
      </w:r>
      <w:r>
        <w:rPr>
          <w:rFonts w:ascii="仿宋_GB2312" w:eastAsia="仿宋_GB2312" w:cs="仿宋_GB2312"/>
          <w:sz w:val="24"/>
          <w:szCs w:val="24"/>
        </w:rPr>
        <w:t xml:space="preserve">   </w:t>
      </w:r>
      <w:r>
        <w:rPr>
          <w:rFonts w:hint="eastAsia" w:ascii="仿宋_GB2312" w:eastAsia="仿宋_GB2312" w:cs="仿宋_GB2312"/>
          <w:sz w:val="24"/>
          <w:szCs w:val="24"/>
        </w:rPr>
        <w:t>高聚物的溶解</w:t>
      </w:r>
    </w:p>
    <w:p>
      <w:pPr>
        <w:spacing w:line="360" w:lineRule="atLeast"/>
        <w:ind w:left="420"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第二节</w:t>
      </w:r>
      <w:r>
        <w:rPr>
          <w:rFonts w:ascii="仿宋_GB2312" w:eastAsia="仿宋_GB2312" w:cs="仿宋_GB2312"/>
          <w:sz w:val="24"/>
          <w:szCs w:val="24"/>
        </w:rPr>
        <w:t xml:space="preserve">   </w:t>
      </w:r>
      <w:r>
        <w:rPr>
          <w:rFonts w:hint="eastAsia" w:ascii="仿宋_GB2312" w:eastAsia="仿宋_GB2312" w:cs="仿宋_GB2312"/>
          <w:sz w:val="24"/>
          <w:szCs w:val="24"/>
        </w:rPr>
        <w:t>高分子溶液的热力学性质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eastAsia="仿宋_GB2312" w:cs="仿宋_GB2312"/>
          <w:sz w:val="24"/>
          <w:szCs w:val="24"/>
        </w:rPr>
        <w:t>第三节</w:t>
      </w:r>
      <w:r>
        <w:rPr>
          <w:rFonts w:ascii="仿宋_GB2312" w:eastAsia="仿宋_GB2312" w:cs="仿宋_GB2312"/>
          <w:sz w:val="24"/>
          <w:szCs w:val="24"/>
        </w:rPr>
        <w:t xml:space="preserve"> 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高分子溶液的流体力学性质</w:t>
      </w:r>
    </w:p>
    <w:p>
      <w:pPr>
        <w:numPr>
          <w:ilvl w:val="0"/>
          <w:numId w:val="1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高聚物的分子量及分子量分布</w:t>
      </w:r>
    </w:p>
    <w:p>
      <w:pPr>
        <w:spacing w:line="360" w:lineRule="atLeast"/>
        <w:ind w:left="420"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第一节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高聚物分子量的测定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eastAsia="仿宋_GB2312" w:cs="仿宋_GB2312"/>
          <w:sz w:val="24"/>
          <w:szCs w:val="24"/>
        </w:rPr>
        <w:t>第二节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eastAsia="仿宋_GB2312" w:cs="仿宋_GB2312"/>
          <w:sz w:val="24"/>
          <w:szCs w:val="24"/>
        </w:rPr>
        <w:t>分子量分布的表示方法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eastAsia="仿宋_GB2312" w:cs="仿宋_GB2312"/>
          <w:sz w:val="24"/>
          <w:szCs w:val="24"/>
        </w:rPr>
        <w:t>第三节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凝胶色谱法</w:t>
      </w:r>
    </w:p>
    <w:p>
      <w:pPr>
        <w:numPr>
          <w:ilvl w:val="0"/>
          <w:numId w:val="1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高聚物的分子运动</w:t>
      </w:r>
    </w:p>
    <w:p>
      <w:pPr>
        <w:spacing w:line="360" w:lineRule="atLeast"/>
        <w:ind w:left="420"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第一节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高聚物的分子热运动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eastAsia="仿宋_GB2312" w:cs="仿宋_GB2312"/>
          <w:sz w:val="24"/>
          <w:szCs w:val="24"/>
        </w:rPr>
        <w:t>第二节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高聚物的玻璃化转变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eastAsia="仿宋_GB2312" w:cs="仿宋_GB2312"/>
          <w:sz w:val="24"/>
          <w:szCs w:val="24"/>
        </w:rPr>
        <w:t>第三节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高聚物的粘性流动</w:t>
      </w:r>
    </w:p>
    <w:p>
      <w:pPr>
        <w:numPr>
          <w:ilvl w:val="0"/>
          <w:numId w:val="1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高聚物的力学性质</w:t>
      </w:r>
    </w:p>
    <w:p>
      <w:pPr>
        <w:spacing w:line="360" w:lineRule="atLeast"/>
        <w:ind w:left="420"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第一节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玻璃态和结晶态高聚物的力学性质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eastAsia="仿宋_GB2312" w:cs="仿宋_GB2312"/>
          <w:sz w:val="24"/>
          <w:szCs w:val="24"/>
        </w:rPr>
        <w:t>第二节</w:t>
      </w:r>
      <w:r>
        <w:rPr>
          <w:rFonts w:ascii="仿宋_GB2312" w:eastAsia="仿宋_GB2312" w:cs="仿宋_GB2312"/>
          <w:sz w:val="24"/>
          <w:szCs w:val="24"/>
        </w:rPr>
        <w:t xml:space="preserve">   </w:t>
      </w:r>
      <w:r>
        <w:rPr>
          <w:rFonts w:hint="eastAsia" w:ascii="仿宋_GB2312" w:eastAsia="仿宋_GB2312" w:cs="仿宋_GB2312"/>
          <w:sz w:val="24"/>
          <w:szCs w:val="24"/>
        </w:rPr>
        <w:t>高弹态高聚物的力学性质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eastAsia="仿宋_GB2312" w:cs="仿宋_GB2312"/>
          <w:sz w:val="24"/>
          <w:szCs w:val="24"/>
        </w:rPr>
        <w:t>第三节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高聚物的力学松弛</w:t>
      </w:r>
    </w:p>
    <w:p>
      <w:pPr>
        <w:numPr>
          <w:ilvl w:val="0"/>
          <w:numId w:val="1"/>
        </w:num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高聚物的电学性质</w:t>
      </w:r>
    </w:p>
    <w:p>
      <w:pPr>
        <w:spacing w:line="360" w:lineRule="atLeast"/>
        <w:ind w:left="420"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第一节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高聚物</w:t>
      </w:r>
      <w:r>
        <w:rPr>
          <w:rFonts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的极化及介电常数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eastAsia="仿宋_GB2312" w:cs="仿宋_GB2312"/>
          <w:sz w:val="24"/>
          <w:szCs w:val="24"/>
        </w:rPr>
        <w:t>第二节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高聚物的</w:t>
      </w:r>
      <w:r>
        <w:rPr>
          <w:rFonts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介电损耗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</w:p>
    <w:p>
      <w:pPr>
        <w:spacing w:line="360" w:lineRule="atLeast"/>
        <w:rPr>
          <w:rFonts w:eastAsia="仿宋_GB2312"/>
          <w:b/>
          <w:bCs/>
          <w:sz w:val="24"/>
          <w:szCs w:val="24"/>
        </w:rPr>
      </w:pPr>
      <w:r>
        <w:rPr>
          <w:rFonts w:hint="eastAsia" w:eastAsia="仿宋_GB2312" w:cs="仿宋_GB2312"/>
          <w:b/>
          <w:bCs/>
          <w:sz w:val="24"/>
          <w:szCs w:val="24"/>
        </w:rPr>
        <w:t>第二部分</w:t>
      </w:r>
      <w:r>
        <w:rPr>
          <w:rFonts w:eastAsia="仿宋_GB2312"/>
          <w:b/>
          <w:bCs/>
          <w:sz w:val="24"/>
          <w:szCs w:val="24"/>
        </w:rPr>
        <w:t xml:space="preserve">  </w:t>
      </w:r>
      <w:r>
        <w:rPr>
          <w:rFonts w:hint="eastAsia" w:eastAsia="仿宋_GB2312" w:cs="仿宋_GB2312"/>
          <w:b/>
          <w:bCs/>
          <w:sz w:val="24"/>
          <w:szCs w:val="24"/>
        </w:rPr>
        <w:t>高分子化学</w:t>
      </w:r>
    </w:p>
    <w:p>
      <w:pPr>
        <w:pStyle w:val="19"/>
        <w:numPr>
          <w:ilvl w:val="0"/>
          <w:numId w:val="3"/>
        </w:numPr>
        <w:spacing w:line="360" w:lineRule="atLeast"/>
        <w:ind w:firstLineChars="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eastAsia="仿宋_GB2312" w:cs="仿宋_GB2312"/>
          <w:sz w:val="24"/>
          <w:szCs w:val="24"/>
        </w:rPr>
        <w:t>自由基加聚反应</w:t>
      </w:r>
    </w:p>
    <w:p>
      <w:pPr>
        <w:pStyle w:val="19"/>
        <w:numPr>
          <w:ilvl w:val="0"/>
          <w:numId w:val="4"/>
        </w:numPr>
        <w:spacing w:line="360" w:lineRule="atLeast"/>
        <w:ind w:firstLineChars="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自由基聚合反应历程</w:t>
      </w:r>
    </w:p>
    <w:p>
      <w:pPr>
        <w:pStyle w:val="19"/>
        <w:numPr>
          <w:ilvl w:val="0"/>
          <w:numId w:val="4"/>
        </w:numPr>
        <w:spacing w:line="360" w:lineRule="atLeast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聚合反应方法</w:t>
      </w:r>
    </w:p>
    <w:p>
      <w:pPr>
        <w:pStyle w:val="19"/>
        <w:numPr>
          <w:ilvl w:val="0"/>
          <w:numId w:val="4"/>
        </w:numPr>
        <w:spacing w:line="360" w:lineRule="atLeast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自由基聚合反应速率及分子量的控制</w:t>
      </w:r>
    </w:p>
    <w:p>
      <w:pPr>
        <w:spacing w:line="360" w:lineRule="atLeas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eastAsia="仿宋_GB2312" w:cs="仿宋_GB2312"/>
          <w:sz w:val="24"/>
          <w:szCs w:val="24"/>
        </w:rPr>
        <w:t>第二章</w:t>
      </w:r>
      <w:r>
        <w:rPr>
          <w:rFonts w:ascii="仿宋_GB2312" w:eastAsia="仿宋_GB2312" w:cs="仿宋_GB2312"/>
          <w:sz w:val="24"/>
          <w:szCs w:val="24"/>
        </w:rPr>
        <w:t xml:space="preserve">   </w:t>
      </w:r>
      <w:r>
        <w:rPr>
          <w:rFonts w:hint="eastAsia" w:ascii="仿宋_GB2312" w:eastAsia="仿宋_GB2312" w:cs="仿宋_GB2312"/>
          <w:sz w:val="24"/>
          <w:szCs w:val="24"/>
        </w:rPr>
        <w:t>共聚合反应</w:t>
      </w:r>
    </w:p>
    <w:p>
      <w:pPr>
        <w:spacing w:line="360" w:lineRule="atLeast"/>
        <w:ind w:left="420"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第一节</w:t>
      </w:r>
      <w:r>
        <w:rPr>
          <w:rFonts w:ascii="仿宋_GB2312" w:eastAsia="仿宋_GB2312" w:cs="仿宋_GB2312"/>
          <w:sz w:val="24"/>
          <w:szCs w:val="24"/>
        </w:rPr>
        <w:t xml:space="preserve">   </w:t>
      </w:r>
      <w:r>
        <w:rPr>
          <w:rFonts w:hint="eastAsia" w:ascii="仿宋_GB2312" w:eastAsia="仿宋_GB2312" w:cs="仿宋_GB2312"/>
          <w:sz w:val="24"/>
          <w:szCs w:val="24"/>
        </w:rPr>
        <w:t>共聚合反应历程及共聚方程式</w:t>
      </w:r>
    </w:p>
    <w:p>
      <w:pPr>
        <w:spacing w:line="360" w:lineRule="atLeast"/>
        <w:ind w:left="420"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第二节</w:t>
      </w:r>
      <w:r>
        <w:rPr>
          <w:rFonts w:ascii="仿宋_GB2312" w:eastAsia="仿宋_GB2312" w:cs="仿宋_GB2312"/>
          <w:sz w:val="24"/>
          <w:szCs w:val="24"/>
        </w:rPr>
        <w:t xml:space="preserve">   </w:t>
      </w:r>
      <w:r>
        <w:rPr>
          <w:rFonts w:hint="eastAsia" w:ascii="仿宋_GB2312" w:eastAsia="仿宋_GB2312" w:cs="仿宋_GB2312"/>
          <w:sz w:val="24"/>
          <w:szCs w:val="24"/>
        </w:rPr>
        <w:t>共聚曲线及高聚物组分的控制</w:t>
      </w:r>
    </w:p>
    <w:p>
      <w:pPr>
        <w:pStyle w:val="19"/>
        <w:numPr>
          <w:ilvl w:val="0"/>
          <w:numId w:val="4"/>
        </w:numPr>
        <w:spacing w:line="360" w:lineRule="atLeast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影响竞聚率的因素</w:t>
      </w:r>
    </w:p>
    <w:p>
      <w:pPr>
        <w:spacing w:line="360" w:lineRule="atLeast"/>
        <w:ind w:firstLine="465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第三章</w:t>
      </w:r>
      <w:r>
        <w:rPr>
          <w:rFonts w:ascii="仿宋_GB2312" w:eastAsia="仿宋_GB2312" w:cs="仿宋_GB2312"/>
          <w:sz w:val="24"/>
          <w:szCs w:val="24"/>
        </w:rPr>
        <w:t xml:space="preserve">   </w:t>
      </w:r>
      <w:r>
        <w:rPr>
          <w:rFonts w:hint="eastAsia" w:ascii="仿宋_GB2312" w:eastAsia="仿宋_GB2312" w:cs="仿宋_GB2312"/>
          <w:sz w:val="24"/>
          <w:szCs w:val="24"/>
        </w:rPr>
        <w:t>离子聚合</w:t>
      </w:r>
    </w:p>
    <w:p>
      <w:pPr>
        <w:pStyle w:val="19"/>
        <w:numPr>
          <w:ilvl w:val="0"/>
          <w:numId w:val="5"/>
        </w:numPr>
        <w:spacing w:line="360" w:lineRule="atLeast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宋体" w:eastAsia="仿宋_GB2312" w:cs="仿宋_GB2312"/>
          <w:color w:val="000000"/>
          <w:sz w:val="24"/>
          <w:szCs w:val="24"/>
        </w:rPr>
        <w:t>离子聚合常用的引发体系</w:t>
      </w:r>
    </w:p>
    <w:p>
      <w:pPr>
        <w:pStyle w:val="19"/>
        <w:numPr>
          <w:ilvl w:val="0"/>
          <w:numId w:val="5"/>
        </w:numPr>
        <w:spacing w:line="360" w:lineRule="atLeast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宋体" w:eastAsia="仿宋_GB2312" w:cs="仿宋_GB2312"/>
          <w:color w:val="000000"/>
          <w:sz w:val="24"/>
          <w:szCs w:val="24"/>
        </w:rPr>
        <w:t>正、负离子聚合机理</w:t>
      </w:r>
    </w:p>
    <w:p>
      <w:pPr>
        <w:pStyle w:val="19"/>
        <w:numPr>
          <w:ilvl w:val="0"/>
          <w:numId w:val="5"/>
        </w:numPr>
        <w:spacing w:line="360" w:lineRule="atLeast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宋体" w:eastAsia="仿宋_GB2312" w:cs="仿宋_GB2312"/>
          <w:color w:val="000000"/>
          <w:sz w:val="24"/>
          <w:szCs w:val="24"/>
        </w:rPr>
        <w:t>开环聚合单体的结构特点</w:t>
      </w:r>
    </w:p>
    <w:p>
      <w:pPr>
        <w:spacing w:line="360" w:lineRule="atLeast"/>
        <w:rPr>
          <w:rFonts w:ascii="宋体" w:cs="宋体"/>
          <w:color w:val="FF0000"/>
        </w:rPr>
      </w:pPr>
      <w:r>
        <w:rPr>
          <w:rFonts w:ascii="仿宋_GB2312" w:eastAsia="仿宋_GB2312" w:cs="仿宋_GB2312"/>
          <w:sz w:val="24"/>
          <w:szCs w:val="24"/>
        </w:rPr>
        <w:t xml:space="preserve">     </w:t>
      </w:r>
      <w:r>
        <w:rPr>
          <w:rFonts w:hint="eastAsia" w:ascii="仿宋_GB2312" w:eastAsia="仿宋_GB2312" w:cs="仿宋_GB2312"/>
          <w:sz w:val="24"/>
          <w:szCs w:val="24"/>
        </w:rPr>
        <w:t>第四章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宋体" w:eastAsia="仿宋_GB2312" w:cs="仿宋_GB2312"/>
          <w:sz w:val="24"/>
          <w:szCs w:val="24"/>
        </w:rPr>
        <w:t>配位聚合</w:t>
      </w:r>
    </w:p>
    <w:p>
      <w:pPr>
        <w:pStyle w:val="19"/>
        <w:numPr>
          <w:ilvl w:val="0"/>
          <w:numId w:val="6"/>
        </w:numPr>
        <w:spacing w:line="360" w:lineRule="atLeast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宋体" w:eastAsia="仿宋_GB2312" w:cs="仿宋_GB2312"/>
          <w:color w:val="000000"/>
          <w:sz w:val="24"/>
          <w:szCs w:val="24"/>
        </w:rPr>
        <w:t>离子聚合常用的引发体系</w:t>
      </w:r>
    </w:p>
    <w:p>
      <w:pPr>
        <w:pStyle w:val="19"/>
        <w:numPr>
          <w:ilvl w:val="0"/>
          <w:numId w:val="6"/>
        </w:numPr>
        <w:spacing w:line="360" w:lineRule="atLeast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宋体" w:eastAsia="仿宋_GB2312" w:cs="仿宋_GB2312"/>
          <w:color w:val="000000"/>
          <w:sz w:val="24"/>
          <w:szCs w:val="24"/>
        </w:rPr>
        <w:t>齐格勒</w:t>
      </w:r>
      <w:r>
        <w:rPr>
          <w:rFonts w:ascii="仿宋_GB2312" w:hAnsi="宋体" w:eastAsia="仿宋_GB2312" w:cs="仿宋_GB2312"/>
          <w:color w:val="000000"/>
          <w:sz w:val="24"/>
          <w:szCs w:val="24"/>
        </w:rPr>
        <w:t xml:space="preserve"> - </w:t>
      </w:r>
      <w:r>
        <w:rPr>
          <w:rFonts w:hint="eastAsia" w:ascii="仿宋_GB2312" w:hAnsi="宋体" w:eastAsia="仿宋_GB2312" w:cs="仿宋_GB2312"/>
          <w:color w:val="000000"/>
          <w:sz w:val="24"/>
          <w:szCs w:val="24"/>
        </w:rPr>
        <w:t>拉塔引发剂引发的配位聚合机理</w:t>
      </w:r>
    </w:p>
    <w:p>
      <w:pPr>
        <w:pStyle w:val="19"/>
        <w:numPr>
          <w:ilvl w:val="0"/>
          <w:numId w:val="6"/>
        </w:numPr>
        <w:spacing w:line="360" w:lineRule="atLeast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宋体" w:eastAsia="仿宋_GB2312" w:cs="仿宋_GB2312"/>
          <w:color w:val="000000"/>
          <w:sz w:val="24"/>
          <w:szCs w:val="24"/>
        </w:rPr>
        <w:t>共轭二烯配位聚合机理</w:t>
      </w:r>
    </w:p>
    <w:p>
      <w:pPr>
        <w:spacing w:line="360" w:lineRule="atLeast"/>
        <w:ind w:firstLine="465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第五章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宋体" w:eastAsia="仿宋_GB2312" w:cs="仿宋_GB2312"/>
          <w:sz w:val="24"/>
          <w:szCs w:val="24"/>
        </w:rPr>
        <w:t>逐步聚合</w:t>
      </w:r>
    </w:p>
    <w:p>
      <w:pPr>
        <w:spacing w:line="360" w:lineRule="atLeast"/>
        <w:ind w:firstLine="465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宋体" w:eastAsia="仿宋_GB2312" w:cs="仿宋_GB2312"/>
          <w:sz w:val="24"/>
          <w:szCs w:val="24"/>
        </w:rPr>
        <w:t>第一节</w:t>
      </w:r>
      <w:r>
        <w:rPr>
          <w:rFonts w:ascii="仿宋_GB2312" w:hAnsi="宋体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宋体" w:eastAsia="仿宋_GB2312" w:cs="仿宋_GB2312"/>
          <w:sz w:val="24"/>
          <w:szCs w:val="24"/>
        </w:rPr>
        <w:t>线型缩聚机理</w:t>
      </w:r>
    </w:p>
    <w:p>
      <w:pPr>
        <w:spacing w:line="360" w:lineRule="atLeast"/>
        <w:ind w:firstLine="465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宋体" w:eastAsia="仿宋_GB2312" w:cs="仿宋_GB2312"/>
          <w:sz w:val="24"/>
          <w:szCs w:val="24"/>
        </w:rPr>
        <w:t>第二节</w:t>
      </w:r>
      <w:r>
        <w:rPr>
          <w:rFonts w:ascii="仿宋_GB2312" w:hAnsi="宋体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宋体" w:eastAsia="仿宋_GB2312" w:cs="仿宋_GB2312"/>
          <w:sz w:val="24"/>
          <w:szCs w:val="24"/>
        </w:rPr>
        <w:t>非等官能团数投料，不考虑副产物的影响，产物的分子量与官能团过量状况，反应程度</w:t>
      </w:r>
      <w:r>
        <w:rPr>
          <w:rFonts w:ascii="仿宋_GB2312" w:hAnsi="宋体" w:eastAsia="仿宋_GB2312" w:cs="仿宋_GB2312"/>
          <w:sz w:val="24"/>
          <w:szCs w:val="24"/>
        </w:rPr>
        <w:t xml:space="preserve"> P </w:t>
      </w:r>
      <w:r>
        <w:rPr>
          <w:rFonts w:hint="eastAsia" w:ascii="仿宋_GB2312" w:hAnsi="宋体" w:eastAsia="仿宋_GB2312" w:cs="仿宋_GB2312"/>
          <w:sz w:val="24"/>
          <w:szCs w:val="24"/>
        </w:rPr>
        <w:t>之间的关系</w:t>
      </w:r>
    </w:p>
    <w:p>
      <w:pPr>
        <w:pStyle w:val="19"/>
        <w:numPr>
          <w:ilvl w:val="0"/>
          <w:numId w:val="6"/>
        </w:numPr>
        <w:spacing w:line="360" w:lineRule="atLeast"/>
        <w:ind w:firstLineChars="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 w:cs="仿宋_GB2312"/>
          <w:sz w:val="24"/>
          <w:szCs w:val="24"/>
        </w:rPr>
        <w:t>体型缩聚配方及工艺特点</w:t>
      </w:r>
    </w:p>
    <w:p>
      <w:pPr>
        <w:spacing w:line="360" w:lineRule="atLeast"/>
        <w:ind w:left="84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第五节</w:t>
      </w:r>
      <w:r>
        <w:rPr>
          <w:rFonts w:ascii="仿宋_GB2312" w:eastAsia="仿宋_GB2312" w:cs="仿宋_GB2312"/>
          <w:sz w:val="24"/>
          <w:szCs w:val="24"/>
        </w:rPr>
        <w:t xml:space="preserve">   </w:t>
      </w:r>
      <w:r>
        <w:rPr>
          <w:rFonts w:hint="eastAsia" w:ascii="仿宋_GB2312" w:hAnsi="宋体" w:eastAsia="仿宋_GB2312" w:cs="仿宋_GB2312"/>
          <w:sz w:val="24"/>
          <w:szCs w:val="24"/>
        </w:rPr>
        <w:t>用卡罗译斯方法或统计法估算凝胶点</w:t>
      </w:r>
      <w:r>
        <w:rPr>
          <w:rFonts w:ascii="仿宋_GB2312" w:hAnsi="宋体" w:eastAsia="仿宋_GB2312" w:cs="仿宋_GB2312"/>
          <w:sz w:val="24"/>
          <w:szCs w:val="24"/>
        </w:rPr>
        <w:t xml:space="preserve"> P</w:t>
      </w:r>
      <w:r>
        <w:rPr>
          <w:rFonts w:ascii="仿宋_GB2312" w:hAnsi="宋体" w:eastAsia="仿宋_GB2312" w:cs="仿宋_GB2312"/>
          <w:sz w:val="24"/>
          <w:szCs w:val="24"/>
          <w:vertAlign w:val="subscript"/>
        </w:rPr>
        <w:t>C</w:t>
      </w:r>
    </w:p>
    <w:p>
      <w:pPr>
        <w:spacing w:line="360" w:lineRule="atLeast"/>
        <w:ind w:firstLine="465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第六章</w:t>
      </w:r>
      <w:r>
        <w:rPr>
          <w:rFonts w:asci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eastAsia="仿宋_GB2312" w:cs="仿宋_GB2312"/>
          <w:sz w:val="24"/>
          <w:szCs w:val="24"/>
        </w:rPr>
        <w:t>聚合物的化学转变与老化</w:t>
      </w:r>
    </w:p>
    <w:p>
      <w:pPr>
        <w:spacing w:line="360" w:lineRule="atLeast"/>
        <w:ind w:left="420"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第一节</w:t>
      </w:r>
      <w:r>
        <w:rPr>
          <w:rFonts w:ascii="仿宋_GB2312" w:eastAsia="仿宋_GB2312" w:cs="仿宋_GB2312"/>
          <w:sz w:val="24"/>
          <w:szCs w:val="24"/>
        </w:rPr>
        <w:t xml:space="preserve">   </w:t>
      </w:r>
      <w:r>
        <w:rPr>
          <w:rFonts w:hint="eastAsia" w:ascii="仿宋_GB2312" w:eastAsia="仿宋_GB2312" w:cs="仿宋_GB2312"/>
          <w:sz w:val="24"/>
          <w:szCs w:val="24"/>
        </w:rPr>
        <w:t>高聚物的官能团的反应</w:t>
      </w:r>
    </w:p>
    <w:p>
      <w:pPr>
        <w:spacing w:line="360" w:lineRule="atLeast"/>
        <w:ind w:left="420"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第二节</w:t>
      </w:r>
      <w:r>
        <w:rPr>
          <w:rFonts w:asci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eastAsia="仿宋_GB2312" w:cs="仿宋_GB2312"/>
          <w:sz w:val="24"/>
          <w:szCs w:val="24"/>
        </w:rPr>
        <w:t>聚合物的降解与交联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  <w:r>
        <w:rPr>
          <w:rFonts w:hint="eastAsia" w:ascii="仿宋_GB2312" w:eastAsia="仿宋_GB2312" w:cs="仿宋_GB2312"/>
          <w:sz w:val="24"/>
          <w:szCs w:val="24"/>
        </w:rPr>
        <w:t>第三节</w:t>
      </w:r>
      <w:r>
        <w:rPr>
          <w:rFonts w:ascii="仿宋_GB2312" w:eastAsia="仿宋_GB2312" w:cs="仿宋_GB2312"/>
          <w:sz w:val="24"/>
          <w:szCs w:val="24"/>
        </w:rPr>
        <w:t xml:space="preserve">   </w:t>
      </w:r>
      <w:r>
        <w:rPr>
          <w:rFonts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hint="eastAsia" w:ascii="仿宋_GB2312" w:hAnsi="Verdana" w:eastAsia="仿宋_GB2312" w:cs="仿宋_GB2312"/>
          <w:color w:val="333333"/>
          <w:sz w:val="24"/>
          <w:szCs w:val="24"/>
          <w:shd w:val="clear" w:color="auto" w:fill="FFFFFF"/>
        </w:rPr>
        <w:t>聚合物的老化及防老化</w:t>
      </w:r>
    </w:p>
    <w:p>
      <w:pPr>
        <w:spacing w:line="360" w:lineRule="atLeast"/>
        <w:ind w:left="420" w:firstLine="420"/>
        <w:rPr>
          <w:rFonts w:ascii="仿宋_GB2312" w:hAnsi="Verdana" w:eastAsia="仿宋_GB2312"/>
          <w:color w:val="333333"/>
          <w:sz w:val="24"/>
          <w:szCs w:val="24"/>
          <w:shd w:val="clear" w:color="auto" w:fill="FFFFFF"/>
        </w:rPr>
      </w:pPr>
    </w:p>
    <w:p>
      <w:pPr>
        <w:spacing w:line="360" w:lineRule="atLeast"/>
        <w:rPr>
          <w:rFonts w:eastAsia="仿宋_GB2312"/>
          <w:b/>
          <w:bCs/>
          <w:sz w:val="24"/>
          <w:szCs w:val="24"/>
        </w:rPr>
      </w:pPr>
    </w:p>
    <w:p>
      <w:pPr>
        <w:spacing w:line="360" w:lineRule="atLeast"/>
        <w:rPr>
          <w:rFonts w:eastAsia="仿宋_GB2312"/>
          <w:b/>
          <w:bCs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3</w:t>
    </w:r>
    <w:r>
      <w:rPr>
        <w:rStyle w:val="10"/>
      </w:rPr>
      <w:fldChar w:fldCharType="end"/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8415A"/>
    <w:multiLevelType w:val="multilevel"/>
    <w:tmpl w:val="0868415A"/>
    <w:lvl w:ilvl="0" w:tentative="0">
      <w:start w:val="1"/>
      <w:numFmt w:val="japaneseCounting"/>
      <w:lvlText w:val="第%1章"/>
      <w:lvlJc w:val="left"/>
      <w:pPr>
        <w:ind w:left="1425" w:hanging="945"/>
      </w:pPr>
      <w:rPr>
        <w:rFonts w:hint="default" w:ascii="Times New Roman" w:hAnsi="Times New Roman"/>
        <w:b/>
        <w:bCs/>
        <w:color w:val="auto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0746D5D"/>
    <w:multiLevelType w:val="multilevel"/>
    <w:tmpl w:val="10746D5D"/>
    <w:lvl w:ilvl="0" w:tentative="0">
      <w:start w:val="1"/>
      <w:numFmt w:val="japaneseCounting"/>
      <w:lvlText w:val="第%1节"/>
      <w:lvlJc w:val="left"/>
      <w:pPr>
        <w:ind w:left="1905" w:hanging="106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2B407D5B"/>
    <w:multiLevelType w:val="multilevel"/>
    <w:tmpl w:val="2B407D5B"/>
    <w:lvl w:ilvl="0" w:tentative="0">
      <w:start w:val="1"/>
      <w:numFmt w:val="japaneseCounting"/>
      <w:lvlText w:val="第%1章"/>
      <w:lvlJc w:val="left"/>
      <w:pPr>
        <w:tabs>
          <w:tab w:val="left" w:pos="1416"/>
        </w:tabs>
        <w:ind w:left="1416" w:hanging="990"/>
      </w:pPr>
      <w:rPr>
        <w:rFonts w:hint="default"/>
      </w:rPr>
    </w:lvl>
    <w:lvl w:ilvl="1" w:tentative="0">
      <w:start w:val="1"/>
      <w:numFmt w:val="japaneseCounting"/>
      <w:lvlText w:val="第%2节"/>
      <w:lvlJc w:val="left"/>
      <w:pPr>
        <w:tabs>
          <w:tab w:val="left" w:pos="1986"/>
        </w:tabs>
        <w:ind w:left="1986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2106"/>
        </w:tabs>
        <w:ind w:left="2106" w:hanging="420"/>
      </w:pPr>
    </w:lvl>
    <w:lvl w:ilvl="3" w:tentative="0">
      <w:start w:val="1"/>
      <w:numFmt w:val="decimal"/>
      <w:lvlText w:val="%4."/>
      <w:lvlJc w:val="left"/>
      <w:pPr>
        <w:tabs>
          <w:tab w:val="left" w:pos="2526"/>
        </w:tabs>
        <w:ind w:left="2526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946"/>
        </w:tabs>
        <w:ind w:left="2946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366"/>
        </w:tabs>
        <w:ind w:left="3366" w:hanging="420"/>
      </w:pPr>
    </w:lvl>
    <w:lvl w:ilvl="6" w:tentative="0">
      <w:start w:val="1"/>
      <w:numFmt w:val="decimal"/>
      <w:lvlText w:val="%7."/>
      <w:lvlJc w:val="left"/>
      <w:pPr>
        <w:tabs>
          <w:tab w:val="left" w:pos="3786"/>
        </w:tabs>
        <w:ind w:left="3786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6"/>
        </w:tabs>
        <w:ind w:left="4206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626"/>
        </w:tabs>
        <w:ind w:left="4626" w:hanging="420"/>
      </w:pPr>
    </w:lvl>
  </w:abstractNum>
  <w:abstractNum w:abstractNumId="3">
    <w:nsid w:val="2EB35081"/>
    <w:multiLevelType w:val="multilevel"/>
    <w:tmpl w:val="2EB35081"/>
    <w:lvl w:ilvl="0" w:tentative="0">
      <w:start w:val="1"/>
      <w:numFmt w:val="japaneseCounting"/>
      <w:lvlText w:val="第%1节"/>
      <w:lvlJc w:val="left"/>
      <w:pPr>
        <w:tabs>
          <w:tab w:val="left" w:pos="1841"/>
        </w:tabs>
        <w:ind w:left="1841" w:hanging="99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680"/>
        </w:tabs>
        <w:ind w:left="168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00"/>
        </w:tabs>
        <w:ind w:left="2100" w:hanging="42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940"/>
        </w:tabs>
        <w:ind w:left="294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360"/>
        </w:tabs>
        <w:ind w:left="33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780"/>
        </w:tabs>
        <w:ind w:left="37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0"/>
        </w:tabs>
        <w:ind w:left="42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620"/>
        </w:tabs>
        <w:ind w:left="4620" w:hanging="420"/>
      </w:pPr>
    </w:lvl>
  </w:abstractNum>
  <w:abstractNum w:abstractNumId="4">
    <w:nsid w:val="48C91641"/>
    <w:multiLevelType w:val="multilevel"/>
    <w:tmpl w:val="48C91641"/>
    <w:lvl w:ilvl="0" w:tentative="0">
      <w:start w:val="1"/>
      <w:numFmt w:val="japaneseCounting"/>
      <w:lvlText w:val="第%1节"/>
      <w:lvlJc w:val="left"/>
      <w:pPr>
        <w:ind w:left="1905" w:hanging="106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abstractNum w:abstractNumId="5">
    <w:nsid w:val="62064760"/>
    <w:multiLevelType w:val="multilevel"/>
    <w:tmpl w:val="62064760"/>
    <w:lvl w:ilvl="0" w:tentative="0">
      <w:start w:val="1"/>
      <w:numFmt w:val="japaneseCounting"/>
      <w:lvlText w:val="第%1节"/>
      <w:lvlJc w:val="left"/>
      <w:pPr>
        <w:ind w:left="1905" w:hanging="106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2F7D"/>
    <w:rsid w:val="00017D1B"/>
    <w:rsid w:val="000423BA"/>
    <w:rsid w:val="00052B75"/>
    <w:rsid w:val="000659E5"/>
    <w:rsid w:val="000D1C02"/>
    <w:rsid w:val="000D6132"/>
    <w:rsid w:val="000F3200"/>
    <w:rsid w:val="001870F1"/>
    <w:rsid w:val="001935EA"/>
    <w:rsid w:val="001A3807"/>
    <w:rsid w:val="001A6236"/>
    <w:rsid w:val="001A7B3C"/>
    <w:rsid w:val="00257C85"/>
    <w:rsid w:val="00262485"/>
    <w:rsid w:val="002630D8"/>
    <w:rsid w:val="00275425"/>
    <w:rsid w:val="00276050"/>
    <w:rsid w:val="0027679F"/>
    <w:rsid w:val="002C1CF1"/>
    <w:rsid w:val="00315C8B"/>
    <w:rsid w:val="003165E3"/>
    <w:rsid w:val="00331D53"/>
    <w:rsid w:val="00343088"/>
    <w:rsid w:val="00351131"/>
    <w:rsid w:val="00354073"/>
    <w:rsid w:val="003C1792"/>
    <w:rsid w:val="003D4A4F"/>
    <w:rsid w:val="00420283"/>
    <w:rsid w:val="00434010"/>
    <w:rsid w:val="00437F6A"/>
    <w:rsid w:val="00445254"/>
    <w:rsid w:val="004645CA"/>
    <w:rsid w:val="00483247"/>
    <w:rsid w:val="0049167D"/>
    <w:rsid w:val="004A527F"/>
    <w:rsid w:val="004B2FF1"/>
    <w:rsid w:val="004C1C09"/>
    <w:rsid w:val="004D637C"/>
    <w:rsid w:val="004F2CBE"/>
    <w:rsid w:val="00503F39"/>
    <w:rsid w:val="005064A5"/>
    <w:rsid w:val="005114E5"/>
    <w:rsid w:val="00521353"/>
    <w:rsid w:val="00536635"/>
    <w:rsid w:val="0055290C"/>
    <w:rsid w:val="00573E1B"/>
    <w:rsid w:val="00577560"/>
    <w:rsid w:val="00590AB7"/>
    <w:rsid w:val="005A08D5"/>
    <w:rsid w:val="005E272C"/>
    <w:rsid w:val="005E3BE5"/>
    <w:rsid w:val="00607659"/>
    <w:rsid w:val="00624512"/>
    <w:rsid w:val="006252CB"/>
    <w:rsid w:val="006261D3"/>
    <w:rsid w:val="00627A2E"/>
    <w:rsid w:val="00631BD5"/>
    <w:rsid w:val="006B736B"/>
    <w:rsid w:val="006C1A89"/>
    <w:rsid w:val="00711222"/>
    <w:rsid w:val="00716521"/>
    <w:rsid w:val="00726756"/>
    <w:rsid w:val="00727476"/>
    <w:rsid w:val="00734825"/>
    <w:rsid w:val="0073782E"/>
    <w:rsid w:val="00743D0B"/>
    <w:rsid w:val="00757EB5"/>
    <w:rsid w:val="00766752"/>
    <w:rsid w:val="00792A66"/>
    <w:rsid w:val="007A18A8"/>
    <w:rsid w:val="007C129B"/>
    <w:rsid w:val="007D6B8B"/>
    <w:rsid w:val="007E3C10"/>
    <w:rsid w:val="007E4DD4"/>
    <w:rsid w:val="007E7837"/>
    <w:rsid w:val="00803E93"/>
    <w:rsid w:val="00830730"/>
    <w:rsid w:val="00850353"/>
    <w:rsid w:val="0086255B"/>
    <w:rsid w:val="008C320A"/>
    <w:rsid w:val="008E2998"/>
    <w:rsid w:val="00915CCE"/>
    <w:rsid w:val="00937A89"/>
    <w:rsid w:val="009510F4"/>
    <w:rsid w:val="009748A0"/>
    <w:rsid w:val="00997D2E"/>
    <w:rsid w:val="009C4102"/>
    <w:rsid w:val="009C713E"/>
    <w:rsid w:val="009D0570"/>
    <w:rsid w:val="009E319B"/>
    <w:rsid w:val="009E3267"/>
    <w:rsid w:val="00A00688"/>
    <w:rsid w:val="00A12457"/>
    <w:rsid w:val="00A51203"/>
    <w:rsid w:val="00A74F89"/>
    <w:rsid w:val="00A823D0"/>
    <w:rsid w:val="00A87172"/>
    <w:rsid w:val="00A94E99"/>
    <w:rsid w:val="00AC050C"/>
    <w:rsid w:val="00AC5CB0"/>
    <w:rsid w:val="00AE7541"/>
    <w:rsid w:val="00B1619A"/>
    <w:rsid w:val="00B71E98"/>
    <w:rsid w:val="00B80C70"/>
    <w:rsid w:val="00BA4E6B"/>
    <w:rsid w:val="00BB6DB8"/>
    <w:rsid w:val="00BC5D90"/>
    <w:rsid w:val="00C230E2"/>
    <w:rsid w:val="00C41020"/>
    <w:rsid w:val="00C443EA"/>
    <w:rsid w:val="00C47E38"/>
    <w:rsid w:val="00C47F5C"/>
    <w:rsid w:val="00C76AEA"/>
    <w:rsid w:val="00C8330D"/>
    <w:rsid w:val="00CA2F7D"/>
    <w:rsid w:val="00CD4376"/>
    <w:rsid w:val="00CE6B09"/>
    <w:rsid w:val="00D11F32"/>
    <w:rsid w:val="00D231BD"/>
    <w:rsid w:val="00D253F4"/>
    <w:rsid w:val="00D42CA8"/>
    <w:rsid w:val="00D51CF5"/>
    <w:rsid w:val="00D61537"/>
    <w:rsid w:val="00DA595A"/>
    <w:rsid w:val="00DC6EE1"/>
    <w:rsid w:val="00DD1676"/>
    <w:rsid w:val="00DF24AD"/>
    <w:rsid w:val="00DF286D"/>
    <w:rsid w:val="00E0092A"/>
    <w:rsid w:val="00E207BD"/>
    <w:rsid w:val="00E67771"/>
    <w:rsid w:val="00E743A0"/>
    <w:rsid w:val="00E93CF5"/>
    <w:rsid w:val="00EA218A"/>
    <w:rsid w:val="00EA3938"/>
    <w:rsid w:val="00EB0E6B"/>
    <w:rsid w:val="00EB1FDF"/>
    <w:rsid w:val="00ED0A40"/>
    <w:rsid w:val="00F21167"/>
    <w:rsid w:val="00F559DA"/>
    <w:rsid w:val="00F56A73"/>
    <w:rsid w:val="00F77EB6"/>
    <w:rsid w:val="00F93B3B"/>
    <w:rsid w:val="00FD633E"/>
    <w:rsid w:val="2B304A5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7"/>
    <w:semiHidden/>
    <w:qFormat/>
    <w:uiPriority w:val="99"/>
    <w:rPr>
      <w:b/>
      <w:bCs/>
    </w:rPr>
  </w:style>
  <w:style w:type="paragraph" w:styleId="3">
    <w:name w:val="annotation text"/>
    <w:basedOn w:val="1"/>
    <w:link w:val="16"/>
    <w:semiHidden/>
    <w:qFormat/>
    <w:uiPriority w:val="99"/>
    <w:pPr>
      <w:jc w:val="left"/>
    </w:pPr>
  </w:style>
  <w:style w:type="paragraph" w:styleId="4">
    <w:name w:val="Balloon Text"/>
    <w:basedOn w:val="1"/>
    <w:link w:val="15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basedOn w:val="8"/>
    <w:qFormat/>
    <w:uiPriority w:val="99"/>
    <w:rPr>
      <w:b/>
      <w:bCs/>
    </w:rPr>
  </w:style>
  <w:style w:type="character" w:styleId="10">
    <w:name w:val="page number"/>
    <w:basedOn w:val="8"/>
    <w:qFormat/>
    <w:uiPriority w:val="99"/>
  </w:style>
  <w:style w:type="character" w:styleId="11">
    <w:name w:val="Hyperlink"/>
    <w:basedOn w:val="8"/>
    <w:qFormat/>
    <w:uiPriority w:val="99"/>
    <w:rPr>
      <w:color w:val="0000FF"/>
      <w:u w:val="single"/>
    </w:rPr>
  </w:style>
  <w:style w:type="character" w:styleId="12">
    <w:name w:val="annotation reference"/>
    <w:basedOn w:val="8"/>
    <w:semiHidden/>
    <w:qFormat/>
    <w:uiPriority w:val="99"/>
    <w:rPr>
      <w:sz w:val="21"/>
      <w:szCs w:val="21"/>
    </w:rPr>
  </w:style>
  <w:style w:type="character" w:customStyle="1" w:styleId="14">
    <w:name w:val="Footer Char"/>
    <w:basedOn w:val="8"/>
    <w:link w:val="5"/>
    <w:semiHidden/>
    <w:qFormat/>
    <w:uiPriority w:val="99"/>
    <w:rPr>
      <w:sz w:val="18"/>
      <w:szCs w:val="18"/>
    </w:rPr>
  </w:style>
  <w:style w:type="character" w:customStyle="1" w:styleId="15">
    <w:name w:val="Balloon Text Char"/>
    <w:basedOn w:val="8"/>
    <w:link w:val="4"/>
    <w:semiHidden/>
    <w:qFormat/>
    <w:uiPriority w:val="99"/>
    <w:rPr>
      <w:sz w:val="0"/>
      <w:szCs w:val="0"/>
    </w:rPr>
  </w:style>
  <w:style w:type="character" w:customStyle="1" w:styleId="16">
    <w:name w:val="Comment Text Char"/>
    <w:basedOn w:val="8"/>
    <w:link w:val="3"/>
    <w:semiHidden/>
    <w:qFormat/>
    <w:uiPriority w:val="99"/>
    <w:rPr>
      <w:szCs w:val="21"/>
    </w:rPr>
  </w:style>
  <w:style w:type="character" w:customStyle="1" w:styleId="17">
    <w:name w:val="Comment Subject Char"/>
    <w:basedOn w:val="16"/>
    <w:link w:val="2"/>
    <w:semiHidden/>
    <w:qFormat/>
    <w:uiPriority w:val="99"/>
    <w:rPr>
      <w:b/>
      <w:bCs/>
    </w:rPr>
  </w:style>
  <w:style w:type="character" w:customStyle="1" w:styleId="18">
    <w:name w:val="Header Char"/>
    <w:basedOn w:val="8"/>
    <w:link w:val="6"/>
    <w:qFormat/>
    <w:locked/>
    <w:uiPriority w:val="99"/>
    <w:rPr>
      <w:kern w:val="2"/>
      <w:sz w:val="18"/>
      <w:szCs w:val="18"/>
    </w:rPr>
  </w:style>
  <w:style w:type="paragraph" w:customStyle="1" w:styleId="1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3</Pages>
  <Words>143</Words>
  <Characters>816</Characters>
  <Lines>0</Lines>
  <Paragraphs>0</Paragraphs>
  <TotalTime>0</TotalTime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2014-10-22T16:48:00Z</dcterms:created>
  <dc:creator>dell</dc:creator>
  <cp:lastModifiedBy>Administrator</cp:lastModifiedBy>
  <dcterms:modified xsi:type="dcterms:W3CDTF">2017-09-21T08:42:41Z</dcterms:modified>
  <dc:title>2011年专业学位研究生入学统一考试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